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60" w:rsidRDefault="003B6060" w:rsidP="00A87666">
      <w:pPr>
        <w:rPr>
          <w:rFonts w:ascii="DejaVu Serif Condensed" w:hAnsi="DejaVu Serif Condensed"/>
          <w:b/>
          <w:sz w:val="28"/>
          <w:szCs w:val="28"/>
        </w:rPr>
      </w:pPr>
      <w:bookmarkStart w:id="0" w:name="_GoBack"/>
      <w:bookmarkEnd w:id="0"/>
    </w:p>
    <w:p w:rsidR="004A3CED" w:rsidRDefault="00811866" w:rsidP="004A3CED">
      <w:pPr>
        <w:pStyle w:val="Tytu"/>
        <w:ind w:left="2124" w:firstLine="708"/>
        <w:jc w:val="left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KARTA</w:t>
      </w:r>
      <w:r w:rsidR="004A3CED">
        <w:rPr>
          <w:rFonts w:ascii="Bookman Old Style" w:hAnsi="Bookman Old Style" w:cs="Arial"/>
          <w:sz w:val="24"/>
        </w:rPr>
        <w:t xml:space="preserve">  ZGŁOSZENIA</w:t>
      </w:r>
    </w:p>
    <w:p w:rsidR="004A3CED" w:rsidRDefault="004A3CED" w:rsidP="004A3CED">
      <w:pPr>
        <w:jc w:val="center"/>
        <w:rPr>
          <w:rFonts w:ascii="Bookman Old Style" w:hAnsi="Bookman Old Style" w:cs="Arial"/>
          <w:b/>
          <w:sz w:val="22"/>
        </w:rPr>
      </w:pPr>
    </w:p>
    <w:p w:rsidR="004A3CED" w:rsidRPr="004A3CED" w:rsidRDefault="00811866" w:rsidP="004A3C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uczestnictwa w seminarium s</w:t>
      </w:r>
      <w:r w:rsidR="00104074">
        <w:rPr>
          <w:rFonts w:ascii="Arial" w:hAnsi="Arial" w:cs="Arial"/>
          <w:sz w:val="22"/>
          <w:szCs w:val="22"/>
        </w:rPr>
        <w:t xml:space="preserve">zkoleniowym  w dniu 22  maja </w:t>
      </w:r>
      <w:r>
        <w:rPr>
          <w:rFonts w:ascii="Arial" w:hAnsi="Arial" w:cs="Arial"/>
          <w:sz w:val="22"/>
          <w:szCs w:val="22"/>
        </w:rPr>
        <w:t>2015</w:t>
      </w:r>
      <w:r w:rsidR="004A3CED" w:rsidRPr="004A3CED">
        <w:rPr>
          <w:rFonts w:ascii="Arial" w:hAnsi="Arial" w:cs="Arial"/>
          <w:sz w:val="22"/>
          <w:szCs w:val="22"/>
        </w:rPr>
        <w:t xml:space="preserve"> r.</w:t>
      </w:r>
    </w:p>
    <w:p w:rsidR="004A3CED" w:rsidRPr="007B77C1" w:rsidRDefault="004A3CED" w:rsidP="004A3CED">
      <w:pPr>
        <w:jc w:val="both"/>
        <w:rPr>
          <w:rFonts w:ascii="Arial" w:hAnsi="Arial" w:cs="Arial"/>
        </w:rPr>
      </w:pPr>
      <w:r w:rsidRPr="0033499B">
        <w:br/>
      </w:r>
      <w:r w:rsidRPr="007B77C1">
        <w:rPr>
          <w:rFonts w:ascii="Arial" w:hAnsi="Arial" w:cs="Arial"/>
          <w:b/>
        </w:rPr>
        <w:t>Temat szkolenia</w:t>
      </w:r>
      <w:r w:rsidRPr="007B77C1">
        <w:rPr>
          <w:rFonts w:ascii="Arial" w:hAnsi="Arial" w:cs="Arial"/>
        </w:rPr>
        <w:t xml:space="preserve">: </w:t>
      </w:r>
    </w:p>
    <w:p w:rsidR="00676CE8" w:rsidRPr="007B77C1" w:rsidRDefault="00676CE8" w:rsidP="004A3CED">
      <w:pPr>
        <w:jc w:val="both"/>
        <w:rPr>
          <w:rFonts w:ascii="Arial" w:hAnsi="Arial" w:cs="Arial"/>
        </w:rPr>
      </w:pPr>
    </w:p>
    <w:p w:rsidR="00104074" w:rsidRPr="00104074" w:rsidRDefault="00104074" w:rsidP="00104074">
      <w:pPr>
        <w:rPr>
          <w:rFonts w:ascii="Arial" w:hAnsi="Arial" w:cs="Arial"/>
          <w:b/>
        </w:rPr>
      </w:pPr>
      <w:r w:rsidRPr="00104074">
        <w:rPr>
          <w:rFonts w:ascii="Arial" w:hAnsi="Arial" w:cs="Arial"/>
          <w:b/>
        </w:rPr>
        <w:t>Wycena aktywów przedsiębiorstwa. Wartość godziwa i inne wartości.</w:t>
      </w:r>
    </w:p>
    <w:p w:rsidR="003B6060" w:rsidRPr="007B77C1" w:rsidRDefault="003B6060" w:rsidP="004A3CED">
      <w:pPr>
        <w:jc w:val="center"/>
        <w:rPr>
          <w:rFonts w:ascii="Arial" w:hAnsi="Arial" w:cs="Arial"/>
          <w:sz w:val="22"/>
          <w:szCs w:val="22"/>
        </w:rPr>
      </w:pPr>
      <w:r w:rsidRPr="007B77C1">
        <w:rPr>
          <w:rFonts w:ascii="Arial" w:hAnsi="Arial" w:cs="Arial"/>
          <w:sz w:val="22"/>
          <w:szCs w:val="22"/>
        </w:rPr>
        <w:t xml:space="preserve"> </w:t>
      </w:r>
    </w:p>
    <w:p w:rsidR="004A3CED" w:rsidRPr="007B77C1" w:rsidRDefault="003B6060" w:rsidP="004A3CED">
      <w:pPr>
        <w:jc w:val="both"/>
        <w:rPr>
          <w:rFonts w:ascii="Arial" w:hAnsi="Arial" w:cs="Arial"/>
          <w:sz w:val="22"/>
          <w:szCs w:val="22"/>
        </w:rPr>
      </w:pPr>
      <w:r w:rsidRPr="007B77C1">
        <w:rPr>
          <w:rFonts w:ascii="Arial" w:hAnsi="Arial" w:cs="Arial"/>
          <w:sz w:val="22"/>
          <w:szCs w:val="22"/>
        </w:rPr>
        <w:t xml:space="preserve">  </w:t>
      </w:r>
    </w:p>
    <w:p w:rsidR="004A3CED" w:rsidRPr="007B77C1" w:rsidRDefault="004A3CED" w:rsidP="004A3CED">
      <w:pPr>
        <w:rPr>
          <w:rFonts w:ascii="Arial" w:hAnsi="Arial" w:cs="Arial"/>
          <w:sz w:val="22"/>
        </w:rPr>
      </w:pPr>
      <w:r w:rsidRPr="007B77C1">
        <w:rPr>
          <w:rFonts w:ascii="Arial" w:hAnsi="Arial" w:cs="Arial"/>
          <w:sz w:val="22"/>
        </w:rPr>
        <w:t>Imię i nazwisko ..................................................................................................................</w:t>
      </w:r>
      <w:r w:rsidR="007B77C1">
        <w:rPr>
          <w:rFonts w:ascii="Arial" w:hAnsi="Arial" w:cs="Arial"/>
          <w:sz w:val="22"/>
        </w:rPr>
        <w:t>.......</w:t>
      </w:r>
    </w:p>
    <w:p w:rsidR="004A3CED" w:rsidRPr="007B77C1" w:rsidRDefault="004A3CED" w:rsidP="004A3CED">
      <w:pPr>
        <w:jc w:val="center"/>
        <w:rPr>
          <w:rFonts w:ascii="Arial" w:hAnsi="Arial" w:cs="Arial"/>
          <w:sz w:val="22"/>
        </w:rPr>
      </w:pPr>
    </w:p>
    <w:p w:rsidR="004A3CED" w:rsidRDefault="004A3CED" w:rsidP="004A3CED">
      <w:pPr>
        <w:rPr>
          <w:rFonts w:ascii="Arial" w:hAnsi="Arial" w:cs="Arial"/>
          <w:sz w:val="22"/>
          <w:lang w:val="de-DE"/>
        </w:rPr>
      </w:pPr>
      <w:r w:rsidRPr="007B77C1">
        <w:rPr>
          <w:rFonts w:ascii="Arial" w:hAnsi="Arial" w:cs="Arial"/>
          <w:sz w:val="22"/>
          <w:lang w:val="de-DE"/>
        </w:rPr>
        <w:t>Adres.................................................................................................................................</w:t>
      </w:r>
      <w:r w:rsidR="007B77C1">
        <w:rPr>
          <w:rFonts w:ascii="Arial" w:hAnsi="Arial" w:cs="Arial"/>
          <w:sz w:val="22"/>
          <w:lang w:val="de-DE"/>
        </w:rPr>
        <w:t>........</w:t>
      </w:r>
    </w:p>
    <w:p w:rsidR="004A3CED" w:rsidRDefault="004A3CED" w:rsidP="004A3CED">
      <w:pPr>
        <w:jc w:val="center"/>
        <w:rPr>
          <w:rFonts w:ascii="Arial" w:hAnsi="Arial" w:cs="Arial"/>
          <w:sz w:val="22"/>
          <w:lang w:val="de-DE"/>
        </w:rPr>
      </w:pPr>
    </w:p>
    <w:p w:rsidR="004A3CED" w:rsidRDefault="004A3CED" w:rsidP="004A3CED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Tel. ................................................................................     </w:t>
      </w:r>
      <w:proofErr w:type="spellStart"/>
      <w:r>
        <w:rPr>
          <w:rFonts w:ascii="Arial" w:hAnsi="Arial" w:cs="Arial"/>
          <w:sz w:val="22"/>
          <w:lang w:val="de-DE"/>
        </w:rPr>
        <w:t>E-mail</w:t>
      </w:r>
      <w:proofErr w:type="spellEnd"/>
      <w:r>
        <w:rPr>
          <w:rFonts w:ascii="Arial" w:hAnsi="Arial" w:cs="Arial"/>
          <w:sz w:val="22"/>
          <w:lang w:val="de-DE"/>
        </w:rPr>
        <w:t>...................................</w:t>
      </w:r>
      <w:r w:rsidR="007B77C1">
        <w:rPr>
          <w:rFonts w:ascii="Arial" w:hAnsi="Arial" w:cs="Arial"/>
          <w:sz w:val="22"/>
          <w:lang w:val="de-DE"/>
        </w:rPr>
        <w:t>..........</w:t>
      </w:r>
    </w:p>
    <w:p w:rsidR="004A3CED" w:rsidRDefault="004A3CED" w:rsidP="004A3CED">
      <w:pPr>
        <w:rPr>
          <w:rFonts w:ascii="Bookman Old Style" w:hAnsi="Bookman Old Style" w:cs="Arial"/>
          <w:lang w:val="de-DE"/>
        </w:rPr>
      </w:pPr>
    </w:p>
    <w:p w:rsidR="004A3CED" w:rsidRDefault="004A3CED" w:rsidP="004A3CED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Nr uprawnień rzeczoznawcy majątkowego …………………………………</w:t>
      </w:r>
      <w:r w:rsidR="00811866">
        <w:rPr>
          <w:rFonts w:ascii="Arial" w:hAnsi="Arial" w:cs="Arial"/>
          <w:szCs w:val="28"/>
        </w:rPr>
        <w:t>………</w:t>
      </w:r>
      <w:r w:rsidR="007B77C1">
        <w:rPr>
          <w:rFonts w:ascii="Arial" w:hAnsi="Arial" w:cs="Arial"/>
          <w:szCs w:val="28"/>
        </w:rPr>
        <w:t>…….</w:t>
      </w:r>
    </w:p>
    <w:p w:rsidR="00811866" w:rsidRDefault="00811866" w:rsidP="004A3CED">
      <w:pPr>
        <w:spacing w:line="360" w:lineRule="auto"/>
        <w:rPr>
          <w:rFonts w:ascii="Arial" w:hAnsi="Arial" w:cs="Arial"/>
          <w:szCs w:val="28"/>
        </w:rPr>
      </w:pPr>
    </w:p>
    <w:p w:rsidR="00811866" w:rsidRPr="007B77C1" w:rsidRDefault="00811866" w:rsidP="004A3CED">
      <w:pPr>
        <w:spacing w:line="360" w:lineRule="auto"/>
        <w:rPr>
          <w:rFonts w:ascii="Arial" w:hAnsi="Arial" w:cs="Arial"/>
          <w:sz w:val="22"/>
          <w:szCs w:val="22"/>
        </w:rPr>
      </w:pPr>
      <w:r w:rsidRPr="007B77C1">
        <w:rPr>
          <w:rFonts w:ascii="Arial" w:hAnsi="Arial" w:cs="Arial"/>
          <w:sz w:val="22"/>
          <w:szCs w:val="22"/>
        </w:rPr>
        <w:t>Dane do faktury:</w:t>
      </w:r>
    </w:p>
    <w:p w:rsidR="007B77C1" w:rsidRDefault="00811866" w:rsidP="004A3CED">
      <w:pPr>
        <w:spacing w:line="360" w:lineRule="auto"/>
        <w:rPr>
          <w:rFonts w:ascii="Arial" w:hAnsi="Arial" w:cs="Arial"/>
          <w:sz w:val="22"/>
          <w:szCs w:val="22"/>
        </w:rPr>
      </w:pPr>
      <w:r w:rsidRPr="007B77C1">
        <w:rPr>
          <w:rFonts w:ascii="Arial" w:hAnsi="Arial" w:cs="Arial"/>
          <w:sz w:val="22"/>
          <w:szCs w:val="22"/>
        </w:rPr>
        <w:t>Nazwa firmy……………………………………………………………………………</w:t>
      </w:r>
      <w:r w:rsidR="007B77C1">
        <w:rPr>
          <w:rFonts w:ascii="Arial" w:hAnsi="Arial" w:cs="Arial"/>
          <w:sz w:val="22"/>
          <w:szCs w:val="22"/>
        </w:rPr>
        <w:t>………………..</w:t>
      </w:r>
    </w:p>
    <w:p w:rsidR="00811866" w:rsidRPr="007B77C1" w:rsidRDefault="00811866" w:rsidP="004A3CED">
      <w:pPr>
        <w:spacing w:line="360" w:lineRule="auto"/>
        <w:rPr>
          <w:rFonts w:ascii="Arial" w:hAnsi="Arial" w:cs="Arial"/>
          <w:sz w:val="22"/>
          <w:szCs w:val="22"/>
        </w:rPr>
      </w:pPr>
      <w:r w:rsidRPr="007B77C1">
        <w:rPr>
          <w:rFonts w:ascii="Arial" w:hAnsi="Arial" w:cs="Arial"/>
          <w:sz w:val="22"/>
          <w:szCs w:val="22"/>
        </w:rPr>
        <w:t>Adres firmy……………………………………………………………………………</w:t>
      </w:r>
      <w:r w:rsidR="007B77C1">
        <w:rPr>
          <w:rFonts w:ascii="Arial" w:hAnsi="Arial" w:cs="Arial"/>
          <w:sz w:val="22"/>
          <w:szCs w:val="22"/>
        </w:rPr>
        <w:t>…………………</w:t>
      </w:r>
    </w:p>
    <w:p w:rsidR="00811866" w:rsidRDefault="00811866" w:rsidP="004A3CED">
      <w:pPr>
        <w:spacing w:line="360" w:lineRule="auto"/>
        <w:rPr>
          <w:rFonts w:ascii="Arial" w:hAnsi="Arial" w:cs="Arial"/>
          <w:szCs w:val="28"/>
        </w:rPr>
      </w:pPr>
      <w:r w:rsidRPr="007B77C1">
        <w:rPr>
          <w:rFonts w:ascii="Arial" w:hAnsi="Arial" w:cs="Arial"/>
          <w:sz w:val="22"/>
          <w:szCs w:val="22"/>
        </w:rPr>
        <w:t>NIP………………………………………………………………………………………</w:t>
      </w:r>
      <w:r w:rsidR="007B77C1">
        <w:rPr>
          <w:rFonts w:ascii="Arial" w:hAnsi="Arial" w:cs="Arial"/>
          <w:sz w:val="22"/>
          <w:szCs w:val="22"/>
        </w:rPr>
        <w:t>……………….</w:t>
      </w:r>
    </w:p>
    <w:p w:rsidR="003B6060" w:rsidRPr="005D5504" w:rsidRDefault="003B6060" w:rsidP="004A3CED">
      <w:pPr>
        <w:jc w:val="both"/>
        <w:rPr>
          <w:rFonts w:ascii="DejaVu Serif Condensed" w:hAnsi="DejaVu Serif Condensed"/>
          <w:sz w:val="22"/>
          <w:szCs w:val="22"/>
        </w:rPr>
      </w:pPr>
    </w:p>
    <w:p w:rsidR="004A3CED" w:rsidRDefault="004A3CED" w:rsidP="004A3CED">
      <w:pPr>
        <w:jc w:val="center"/>
        <w:rPr>
          <w:rFonts w:ascii="Bookman Old Style" w:hAnsi="Bookman Old Style" w:cs="Arial"/>
          <w:i/>
          <w:iCs/>
        </w:rPr>
      </w:pPr>
      <w:r>
        <w:rPr>
          <w:rFonts w:ascii="Bookman Old Style" w:hAnsi="Bookman Old Style" w:cs="Arial"/>
          <w:i/>
          <w:iCs/>
        </w:rPr>
        <w:t>Kartę zgłoszenia wraz z wpłatą prosimy nadsyłać w terminie  do dnia</w:t>
      </w:r>
    </w:p>
    <w:p w:rsidR="00A87666" w:rsidRDefault="00A87666" w:rsidP="004A3CED">
      <w:pPr>
        <w:jc w:val="center"/>
        <w:rPr>
          <w:b/>
          <w:bCs/>
          <w:sz w:val="32"/>
          <w:szCs w:val="32"/>
          <w:u w:val="single"/>
        </w:rPr>
      </w:pPr>
    </w:p>
    <w:p w:rsidR="004A3CED" w:rsidRPr="00406F12" w:rsidRDefault="00104074" w:rsidP="004A3CE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15  maja</w:t>
      </w:r>
      <w:r w:rsidR="00811866">
        <w:rPr>
          <w:b/>
          <w:bCs/>
          <w:sz w:val="32"/>
          <w:szCs w:val="32"/>
          <w:u w:val="single"/>
        </w:rPr>
        <w:t xml:space="preserve"> 2015 </w:t>
      </w:r>
      <w:r w:rsidR="004A3CED" w:rsidRPr="00406F12">
        <w:rPr>
          <w:b/>
          <w:bCs/>
          <w:sz w:val="32"/>
          <w:szCs w:val="32"/>
          <w:u w:val="single"/>
        </w:rPr>
        <w:t>r</w:t>
      </w:r>
      <w:r w:rsidR="00811866">
        <w:rPr>
          <w:b/>
          <w:bCs/>
          <w:sz w:val="32"/>
          <w:szCs w:val="32"/>
          <w:u w:val="single"/>
        </w:rPr>
        <w:t>.</w:t>
      </w:r>
      <w:r w:rsidR="004A3CED" w:rsidRPr="00406F12">
        <w:rPr>
          <w:b/>
          <w:bCs/>
          <w:sz w:val="32"/>
          <w:szCs w:val="32"/>
          <w:u w:val="single"/>
        </w:rPr>
        <w:t xml:space="preserve"> </w:t>
      </w:r>
    </w:p>
    <w:p w:rsidR="004A3CED" w:rsidRDefault="004A3CED" w:rsidP="004A3CED">
      <w:pPr>
        <w:jc w:val="center"/>
        <w:rPr>
          <w:rFonts w:ascii="Arial" w:hAnsi="Arial" w:cs="Arial"/>
          <w:b/>
          <w:bCs/>
          <w:i/>
          <w:iCs/>
        </w:rPr>
      </w:pPr>
    </w:p>
    <w:p w:rsidR="004A3CED" w:rsidRDefault="004A3CED" w:rsidP="004A3CE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faksem:  42 632-50-03  </w:t>
      </w:r>
    </w:p>
    <w:p w:rsidR="004A3CED" w:rsidRDefault="004A3CED" w:rsidP="004A3CED">
      <w:pPr>
        <w:jc w:val="center"/>
        <w:rPr>
          <w:rFonts w:ascii="Arial" w:hAnsi="Arial" w:cs="Arial"/>
          <w:b/>
          <w:bCs/>
          <w:i/>
          <w:iCs/>
          <w:lang w:val="de-DE"/>
        </w:rPr>
      </w:pPr>
      <w:r>
        <w:rPr>
          <w:rFonts w:ascii="Arial" w:hAnsi="Arial" w:cs="Arial"/>
          <w:b/>
          <w:bCs/>
          <w:i/>
          <w:iCs/>
          <w:lang w:val="de-DE"/>
        </w:rPr>
        <w:t xml:space="preserve">    </w:t>
      </w:r>
      <w:proofErr w:type="spellStart"/>
      <w:r>
        <w:rPr>
          <w:rFonts w:ascii="Arial" w:hAnsi="Arial" w:cs="Arial"/>
          <w:b/>
          <w:bCs/>
          <w:i/>
          <w:iCs/>
          <w:lang w:val="de-DE"/>
        </w:rPr>
        <w:t>e-mail</w:t>
      </w:r>
      <w:proofErr w:type="spellEnd"/>
      <w:r>
        <w:rPr>
          <w:rFonts w:ascii="Arial" w:hAnsi="Arial" w:cs="Arial"/>
          <w:b/>
          <w:bCs/>
          <w:i/>
          <w:iCs/>
          <w:lang w:val="de-DE"/>
        </w:rPr>
        <w:t>:</w:t>
      </w:r>
      <w:r>
        <w:rPr>
          <w:rFonts w:ascii="Arial" w:hAnsi="Arial" w:cs="Arial"/>
          <w:lang w:val="de-DE"/>
        </w:rPr>
        <w:t xml:space="preserve">     </w:t>
      </w:r>
      <w:r>
        <w:rPr>
          <w:rFonts w:ascii="Arial" w:hAnsi="Arial" w:cs="Arial"/>
          <w:b/>
          <w:bCs/>
          <w:i/>
          <w:iCs/>
          <w:lang w:val="de-DE"/>
        </w:rPr>
        <w:t xml:space="preserve">psrwn-lodz@neostrada.pl    </w:t>
      </w:r>
    </w:p>
    <w:p w:rsidR="004A3CED" w:rsidRDefault="004A3CED" w:rsidP="004A3CED">
      <w:pPr>
        <w:ind w:left="21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lang w:val="de-DE"/>
        </w:rPr>
        <w:t xml:space="preserve">       </w:t>
      </w:r>
    </w:p>
    <w:p w:rsidR="004A3CED" w:rsidRDefault="004A3CED" w:rsidP="004A3CED">
      <w:pPr>
        <w:pStyle w:val="Tekstpodstawowy3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lub listownie na adres: </w:t>
      </w:r>
    </w:p>
    <w:p w:rsidR="004A3CED" w:rsidRDefault="004A3CED" w:rsidP="004A3CED">
      <w:pPr>
        <w:pStyle w:val="Tekstpodstawowy3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Polskie Stowarzyszenie Rzeczoznawców Wyceny Nieruchomości Oddział Regionalny w Łodzi, Plac Komuny Paryskiej 5a 90-007 Łódź</w:t>
      </w:r>
    </w:p>
    <w:p w:rsidR="004A3CED" w:rsidRDefault="004A3CED" w:rsidP="004A3CED">
      <w:pPr>
        <w:pStyle w:val="Tekstpodstawowy3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Wpłaty można dokonać n</w:t>
      </w:r>
      <w:r w:rsidR="007B77C1">
        <w:rPr>
          <w:rFonts w:ascii="Arial" w:hAnsi="Arial" w:cs="Arial"/>
          <w:b/>
          <w:bCs/>
          <w:sz w:val="24"/>
        </w:rPr>
        <w:t xml:space="preserve">a konto bankowe Stowarzyszenia </w:t>
      </w:r>
    </w:p>
    <w:p w:rsidR="004A3CED" w:rsidRPr="00C97FC3" w:rsidRDefault="004A3CED" w:rsidP="004A3CED">
      <w:pPr>
        <w:pStyle w:val="Tekstpodstawowywcity2"/>
        <w:spacing w:line="240" w:lineRule="auto"/>
        <w:ind w:left="0"/>
        <w:jc w:val="center"/>
        <w:rPr>
          <w:rFonts w:ascii="Bookman Old Style" w:hAnsi="Bookman Old Style"/>
          <w:b/>
          <w:bCs/>
          <w:spacing w:val="-6"/>
          <w:szCs w:val="32"/>
        </w:rPr>
      </w:pPr>
      <w:r>
        <w:rPr>
          <w:rFonts w:ascii="Arial Narrow" w:hAnsi="Arial Narrow"/>
          <w:b/>
          <w:bCs/>
        </w:rPr>
        <w:t xml:space="preserve">PKO BP SA I O / Łódź nr 22 1020 3352 0000 1102 0010 6922 </w:t>
      </w:r>
      <w:r w:rsidR="00676CE8">
        <w:rPr>
          <w:rFonts w:ascii="Arial Narrow" w:hAnsi="Arial Narrow"/>
          <w:b/>
          <w:bCs/>
        </w:rPr>
        <w:t xml:space="preserve"> lub w sekretariacie Stow</w:t>
      </w:r>
      <w:r w:rsidR="007B77C1">
        <w:rPr>
          <w:rFonts w:ascii="Arial Narrow" w:hAnsi="Arial Narrow"/>
          <w:b/>
          <w:bCs/>
        </w:rPr>
        <w:t>a</w:t>
      </w:r>
      <w:r w:rsidR="00676CE8">
        <w:rPr>
          <w:rFonts w:ascii="Arial Narrow" w:hAnsi="Arial Narrow"/>
          <w:b/>
          <w:bCs/>
        </w:rPr>
        <w:t>rzyszenia.</w:t>
      </w:r>
    </w:p>
    <w:p w:rsidR="003B6060" w:rsidRPr="005D5504" w:rsidRDefault="003B6060" w:rsidP="003B6060">
      <w:pPr>
        <w:jc w:val="both"/>
        <w:rPr>
          <w:rFonts w:ascii="DejaVu Serif Condensed" w:hAnsi="DejaVu Serif Condensed"/>
          <w:sz w:val="22"/>
          <w:szCs w:val="22"/>
        </w:rPr>
      </w:pPr>
    </w:p>
    <w:p w:rsidR="00A87666" w:rsidRPr="00A87666" w:rsidRDefault="003B6060" w:rsidP="00A87666">
      <w:pPr>
        <w:rPr>
          <w:rFonts w:ascii="Arial" w:hAnsi="Arial" w:cs="Arial"/>
          <w:sz w:val="20"/>
          <w:szCs w:val="20"/>
        </w:rPr>
      </w:pPr>
      <w:r w:rsidRPr="005D5504">
        <w:rPr>
          <w:rFonts w:ascii="DejaVu Serif Condensed" w:hAnsi="DejaVu Serif Condensed"/>
          <w:sz w:val="22"/>
          <w:szCs w:val="22"/>
        </w:rPr>
        <w:t xml:space="preserve"> </w:t>
      </w:r>
      <w:r w:rsidR="00A87666" w:rsidRPr="00A87666">
        <w:rPr>
          <w:rFonts w:ascii="Arial" w:hAnsi="Arial" w:cs="Arial"/>
          <w:sz w:val="20"/>
          <w:szCs w:val="20"/>
        </w:rPr>
        <w:t xml:space="preserve">Oświadczam, że wyrażam zgodę na przetwarzanie moich danych osobowych przez </w:t>
      </w:r>
      <w:r w:rsidR="0012637F">
        <w:rPr>
          <w:rFonts w:ascii="Arial" w:hAnsi="Arial" w:cs="Arial"/>
          <w:sz w:val="20"/>
          <w:szCs w:val="20"/>
        </w:rPr>
        <w:t>Polskie Stowarzyszenie Rzeczoznawców Wyceny Nieruchomości Oddział Regionalny w Łodzi</w:t>
      </w:r>
      <w:r w:rsidR="00A87666" w:rsidRPr="00A87666">
        <w:rPr>
          <w:rFonts w:ascii="Arial" w:hAnsi="Arial" w:cs="Arial"/>
          <w:sz w:val="20"/>
          <w:szCs w:val="20"/>
        </w:rPr>
        <w:t xml:space="preserve"> zgodnie z ustawą z dnia 29 sierpnia 1997 o ochronie danych osobowych (tj. Dz. U. nr 101 z 202 r., poz. 926 z późniejszymi zmianami).</w:t>
      </w:r>
    </w:p>
    <w:p w:rsidR="003B6060" w:rsidRPr="00A87666" w:rsidRDefault="003B6060" w:rsidP="003B6060">
      <w:pPr>
        <w:jc w:val="both"/>
        <w:rPr>
          <w:rFonts w:ascii="Arial" w:hAnsi="Arial" w:cs="Arial"/>
          <w:sz w:val="20"/>
          <w:szCs w:val="20"/>
        </w:rPr>
      </w:pPr>
    </w:p>
    <w:p w:rsidR="003B6060" w:rsidRDefault="003B6060" w:rsidP="003B6060">
      <w:pPr>
        <w:jc w:val="both"/>
        <w:rPr>
          <w:rFonts w:ascii="DejaVu Serif Condensed" w:hAnsi="DejaVu Serif Condensed"/>
          <w:sz w:val="22"/>
          <w:szCs w:val="22"/>
        </w:rPr>
      </w:pPr>
      <w:r w:rsidRPr="005D5504">
        <w:rPr>
          <w:rFonts w:ascii="DejaVu Serif Condensed" w:hAnsi="DejaVu Serif Condensed"/>
          <w:sz w:val="22"/>
          <w:szCs w:val="22"/>
        </w:rPr>
        <w:t xml:space="preserve">   </w:t>
      </w:r>
    </w:p>
    <w:p w:rsidR="00A87666" w:rsidRPr="005D5504" w:rsidRDefault="00A87666" w:rsidP="003B6060">
      <w:pPr>
        <w:jc w:val="both"/>
        <w:rPr>
          <w:rFonts w:ascii="DejaVu Serif Condensed" w:hAnsi="DejaVu Serif Condensed"/>
          <w:sz w:val="22"/>
          <w:szCs w:val="22"/>
        </w:rPr>
      </w:pPr>
    </w:p>
    <w:p w:rsidR="003B6060" w:rsidRPr="005D5504" w:rsidRDefault="003B6060" w:rsidP="003B6060">
      <w:pPr>
        <w:jc w:val="both"/>
        <w:rPr>
          <w:rFonts w:ascii="DejaVu Serif Condensed" w:hAnsi="DejaVu Serif Condensed"/>
          <w:sz w:val="22"/>
          <w:szCs w:val="22"/>
        </w:rPr>
      </w:pPr>
      <w:r w:rsidRPr="005D5504">
        <w:rPr>
          <w:rFonts w:ascii="DejaVu Serif Condensed" w:hAnsi="DejaVu Serif Condensed"/>
          <w:sz w:val="22"/>
          <w:szCs w:val="22"/>
        </w:rPr>
        <w:t xml:space="preserve">                                                </w:t>
      </w:r>
      <w:r>
        <w:rPr>
          <w:rFonts w:ascii="DejaVu Serif Condensed" w:hAnsi="DejaVu Serif Condensed"/>
          <w:sz w:val="22"/>
          <w:szCs w:val="22"/>
        </w:rPr>
        <w:t xml:space="preserve">                       </w:t>
      </w:r>
      <w:r w:rsidRPr="005D5504">
        <w:rPr>
          <w:rFonts w:ascii="DejaVu Serif Condensed" w:hAnsi="DejaVu Serif Condensed"/>
          <w:sz w:val="22"/>
          <w:szCs w:val="22"/>
        </w:rPr>
        <w:t xml:space="preserve">  .........................................................................</w:t>
      </w:r>
      <w:r w:rsidR="00811866">
        <w:rPr>
          <w:rFonts w:ascii="DejaVu Serif Condensed" w:hAnsi="DejaVu Serif Condensed"/>
          <w:sz w:val="22"/>
          <w:szCs w:val="22"/>
        </w:rPr>
        <w:t>.......</w:t>
      </w:r>
      <w:r w:rsidRPr="005D5504">
        <w:rPr>
          <w:rFonts w:ascii="DejaVu Serif Condensed" w:hAnsi="DejaVu Serif Condensed"/>
          <w:sz w:val="22"/>
          <w:szCs w:val="22"/>
        </w:rPr>
        <w:t xml:space="preserve"> </w:t>
      </w:r>
    </w:p>
    <w:p w:rsidR="003B6060" w:rsidRPr="005D5504" w:rsidRDefault="003B6060" w:rsidP="00811866">
      <w:pPr>
        <w:jc w:val="right"/>
        <w:rPr>
          <w:rFonts w:ascii="DejaVu Serif Condensed" w:hAnsi="DejaVu Serif Condensed"/>
          <w:sz w:val="22"/>
          <w:szCs w:val="22"/>
        </w:rPr>
      </w:pPr>
      <w:r w:rsidRPr="005D5504">
        <w:rPr>
          <w:rFonts w:ascii="DejaVu Serif Condensed" w:hAnsi="DejaVu Serif Condensed"/>
          <w:sz w:val="22"/>
          <w:szCs w:val="22"/>
        </w:rPr>
        <w:t>data /  podpis  uczestnika</w:t>
      </w:r>
    </w:p>
    <w:p w:rsidR="0027065A" w:rsidRDefault="0027065A" w:rsidP="0027065A">
      <w:pPr>
        <w:rPr>
          <w:rFonts w:ascii="Candara" w:hAnsi="Candara"/>
          <w:sz w:val="22"/>
        </w:rPr>
      </w:pPr>
    </w:p>
    <w:p w:rsidR="0027065A" w:rsidRPr="0027065A" w:rsidRDefault="0027065A" w:rsidP="0027065A">
      <w:pPr>
        <w:pStyle w:val="Tytu"/>
        <w:jc w:val="left"/>
        <w:rPr>
          <w:rFonts w:ascii="Arial Black" w:hAnsi="Arial Black" w:cs="Arial"/>
          <w:sz w:val="18"/>
        </w:rPr>
      </w:pPr>
      <w:r w:rsidRPr="0027065A">
        <w:rPr>
          <w:rFonts w:ascii="Arial Black" w:hAnsi="Arial Black" w:cs="Arial"/>
          <w:sz w:val="18"/>
        </w:rPr>
        <w:t>UWAGA:</w:t>
      </w:r>
    </w:p>
    <w:p w:rsidR="0027065A" w:rsidRPr="0027065A" w:rsidRDefault="0027065A" w:rsidP="0027065A">
      <w:pPr>
        <w:pStyle w:val="Tytu"/>
        <w:ind w:left="360"/>
        <w:jc w:val="left"/>
        <w:rPr>
          <w:rFonts w:ascii="Candara" w:hAnsi="Candara" w:cs="Arial"/>
          <w:sz w:val="20"/>
        </w:rPr>
      </w:pPr>
    </w:p>
    <w:p w:rsidR="0027065A" w:rsidRPr="0027065A" w:rsidRDefault="0027065A" w:rsidP="0027065A">
      <w:pPr>
        <w:pStyle w:val="Tytu"/>
        <w:numPr>
          <w:ilvl w:val="0"/>
          <w:numId w:val="10"/>
        </w:numPr>
        <w:jc w:val="left"/>
        <w:rPr>
          <w:rFonts w:ascii="Candara" w:hAnsi="Candara" w:cs="Arial"/>
          <w:sz w:val="22"/>
        </w:rPr>
      </w:pPr>
      <w:r w:rsidRPr="0027065A">
        <w:rPr>
          <w:rFonts w:ascii="Candara" w:hAnsi="Candara" w:cs="Arial"/>
          <w:sz w:val="22"/>
        </w:rPr>
        <w:t>W przypadku rezygnacji uczestnika wpłata za szkolenie nie podlega zwrotowi.</w:t>
      </w:r>
    </w:p>
    <w:p w:rsidR="0027065A" w:rsidRPr="0027065A" w:rsidRDefault="0027065A" w:rsidP="0027065A">
      <w:pPr>
        <w:pStyle w:val="Tytu"/>
        <w:numPr>
          <w:ilvl w:val="0"/>
          <w:numId w:val="10"/>
        </w:numPr>
        <w:jc w:val="left"/>
        <w:rPr>
          <w:rFonts w:ascii="Candara" w:hAnsi="Candara" w:cs="Arial"/>
          <w:sz w:val="22"/>
        </w:rPr>
      </w:pPr>
      <w:r w:rsidRPr="0027065A">
        <w:rPr>
          <w:rFonts w:ascii="Candara" w:hAnsi="Candara" w:cs="Arial"/>
          <w:sz w:val="22"/>
        </w:rPr>
        <w:t>W przypadku odwołania szkolenia z winy organizatora wpłata zostaje zwrócona uczestnikowi szkolenia.</w:t>
      </w:r>
    </w:p>
    <w:p w:rsidR="00317AF5" w:rsidRDefault="00317AF5"/>
    <w:p w:rsidR="00A87666" w:rsidRPr="001F084F" w:rsidRDefault="00A87666" w:rsidP="00A87666">
      <w:pPr>
        <w:rPr>
          <w:rFonts w:ascii="Tahoma" w:hAnsi="Tahoma" w:cs="Tahoma"/>
          <w:b/>
        </w:rPr>
      </w:pPr>
      <w:r w:rsidRPr="001F084F">
        <w:rPr>
          <w:rFonts w:ascii="Tahoma" w:hAnsi="Tahoma" w:cs="Tahoma"/>
          <w:b/>
        </w:rPr>
        <w:t xml:space="preserve">PROGRAM </w:t>
      </w:r>
      <w:r>
        <w:rPr>
          <w:rFonts w:ascii="Tahoma" w:hAnsi="Tahoma" w:cs="Tahoma"/>
          <w:b/>
        </w:rPr>
        <w:t>SZKOLENIA</w:t>
      </w:r>
    </w:p>
    <w:p w:rsidR="00A87666" w:rsidRPr="001F084F" w:rsidRDefault="00A87666" w:rsidP="00A87666">
      <w:pPr>
        <w:jc w:val="center"/>
        <w:rPr>
          <w:rFonts w:ascii="Tahoma" w:hAnsi="Tahoma" w:cs="Tahoma"/>
          <w:b/>
        </w:rPr>
      </w:pPr>
    </w:p>
    <w:p w:rsidR="00A87666" w:rsidRPr="001F084F" w:rsidRDefault="00A87666" w:rsidP="00A87666"/>
    <w:p w:rsidR="00A87666" w:rsidRPr="001F084F" w:rsidRDefault="00A87666" w:rsidP="00A87666"/>
    <w:p w:rsidR="00A87666" w:rsidRPr="001F084F" w:rsidRDefault="00A87666" w:rsidP="00A8766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80"/>
        <w:gridCol w:w="1260"/>
      </w:tblGrid>
      <w:tr w:rsidR="004E4F29" w:rsidRPr="001F084F" w:rsidTr="0077739E">
        <w:trPr>
          <w:trHeight w:val="390"/>
        </w:trPr>
        <w:tc>
          <w:tcPr>
            <w:tcW w:w="828" w:type="dxa"/>
            <w:shd w:val="clear" w:color="auto" w:fill="D9D9D9"/>
          </w:tcPr>
          <w:p w:rsidR="004E4F29" w:rsidRPr="001F084F" w:rsidRDefault="004E4F29" w:rsidP="009B14E8">
            <w:pPr>
              <w:jc w:val="center"/>
              <w:rPr>
                <w:rFonts w:ascii="Tahoma" w:hAnsi="Tahoma" w:cs="Tahoma"/>
              </w:rPr>
            </w:pPr>
            <w:r w:rsidRPr="001F084F">
              <w:rPr>
                <w:rFonts w:ascii="Tahoma" w:hAnsi="Tahoma" w:cs="Tahoma"/>
              </w:rPr>
              <w:t>Lp.</w:t>
            </w:r>
          </w:p>
        </w:tc>
        <w:tc>
          <w:tcPr>
            <w:tcW w:w="8640" w:type="dxa"/>
            <w:gridSpan w:val="2"/>
            <w:shd w:val="clear" w:color="auto" w:fill="D9D9D9"/>
          </w:tcPr>
          <w:p w:rsidR="004E4F29" w:rsidRPr="001F084F" w:rsidRDefault="004E4F29" w:rsidP="009B14E8">
            <w:pPr>
              <w:keepNext/>
              <w:jc w:val="center"/>
              <w:outlineLvl w:val="2"/>
              <w:rPr>
                <w:rFonts w:ascii="Tahoma" w:hAnsi="Tahoma" w:cs="Tahoma"/>
              </w:rPr>
            </w:pPr>
            <w:r w:rsidRPr="001F084F">
              <w:rPr>
                <w:rFonts w:ascii="Tahoma" w:hAnsi="Tahoma" w:cs="Tahoma"/>
              </w:rPr>
              <w:t xml:space="preserve"> Tytuł punktu programu kształcenia</w:t>
            </w:r>
          </w:p>
        </w:tc>
      </w:tr>
      <w:tr w:rsidR="00A87666" w:rsidRPr="001F084F" w:rsidTr="006F116A">
        <w:trPr>
          <w:trHeight w:val="799"/>
        </w:trPr>
        <w:tc>
          <w:tcPr>
            <w:tcW w:w="828" w:type="dxa"/>
            <w:shd w:val="clear" w:color="auto" w:fill="auto"/>
          </w:tcPr>
          <w:p w:rsidR="00A87666" w:rsidRPr="001F084F" w:rsidRDefault="00A87666" w:rsidP="00A876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8640" w:type="dxa"/>
            <w:gridSpan w:val="2"/>
            <w:shd w:val="clear" w:color="auto" w:fill="auto"/>
          </w:tcPr>
          <w:p w:rsidR="00A87666" w:rsidRPr="008C7025" w:rsidRDefault="00A87666" w:rsidP="00A87666">
            <w:pPr>
              <w:spacing w:line="252" w:lineRule="auto"/>
              <w:ind w:left="720"/>
              <w:contextualSpacing/>
              <w:textAlignment w:val="baseline"/>
              <w:rPr>
                <w:rFonts w:cs="Times New Roman"/>
                <w:b/>
              </w:rPr>
            </w:pPr>
            <w:r w:rsidRPr="00BA2FFC">
              <w:rPr>
                <w:rFonts w:eastAsiaTheme="minorEastAsia"/>
                <w:b/>
                <w:bCs/>
              </w:rPr>
              <w:t xml:space="preserve">Uwarunkowania prawne </w:t>
            </w:r>
            <w:r>
              <w:rPr>
                <w:rFonts w:eastAsiaTheme="minorEastAsia"/>
                <w:b/>
                <w:bCs/>
              </w:rPr>
              <w:t xml:space="preserve">- </w:t>
            </w:r>
            <w:r w:rsidRPr="00BA2FFC">
              <w:rPr>
                <w:rFonts w:eastAsiaTheme="minorEastAsia"/>
                <w:b/>
                <w:bCs/>
              </w:rPr>
              <w:t>prawo bilansowe</w:t>
            </w:r>
            <w:r>
              <w:rPr>
                <w:rFonts w:eastAsiaTheme="minorEastAsia"/>
                <w:b/>
                <w:bCs/>
              </w:rPr>
              <w:t xml:space="preserve"> i </w:t>
            </w:r>
            <w:r w:rsidRPr="00BA2FFC">
              <w:rPr>
                <w:rFonts w:eastAsiaTheme="minorEastAsia"/>
                <w:b/>
                <w:bCs/>
              </w:rPr>
              <w:t>podatkowe</w:t>
            </w:r>
          </w:p>
          <w:p w:rsidR="00A87666" w:rsidRPr="008C7025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cs="Times New Roman"/>
              </w:rPr>
            </w:pPr>
            <w:r w:rsidRPr="008C7025">
              <w:rPr>
                <w:rFonts w:cs="Times New Roman"/>
              </w:rPr>
              <w:t>Ustawa o rachunkowości</w:t>
            </w:r>
          </w:p>
          <w:p w:rsidR="00A87666" w:rsidRPr="008C7025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cs="Times New Roman"/>
              </w:rPr>
            </w:pPr>
            <w:r w:rsidRPr="008C7025">
              <w:rPr>
                <w:rFonts w:cs="Times New Roman"/>
              </w:rPr>
              <w:t>Międzynarodowy Standard Sprawozdawczości Finansowej 13</w:t>
            </w:r>
          </w:p>
          <w:p w:rsidR="00A87666" w:rsidRPr="008C7025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cs="Times New Roman"/>
              </w:rPr>
            </w:pPr>
            <w:r w:rsidRPr="008C7025">
              <w:rPr>
                <w:rFonts w:cs="Times New Roman"/>
              </w:rPr>
              <w:t>Krajowe Standardy Rachunkowości, a w tym KRS Niezakończone usługi budowlane</w:t>
            </w:r>
          </w:p>
          <w:p w:rsidR="00A87666" w:rsidRPr="008C7025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cs="Times New Roman"/>
              </w:rPr>
            </w:pPr>
            <w:r w:rsidRPr="008C7025">
              <w:rPr>
                <w:rFonts w:cs="Times New Roman"/>
              </w:rPr>
              <w:t xml:space="preserve">Ustawy </w:t>
            </w:r>
            <w:r>
              <w:rPr>
                <w:rFonts w:cs="Times New Roman"/>
              </w:rPr>
              <w:t xml:space="preserve">i rozporządzenia </w:t>
            </w:r>
            <w:r w:rsidRPr="008C7025">
              <w:rPr>
                <w:rFonts w:cs="Times New Roman"/>
              </w:rPr>
              <w:t>„podatkowe”</w:t>
            </w:r>
          </w:p>
          <w:p w:rsidR="00A87666" w:rsidRPr="001F084F" w:rsidRDefault="00A87666" w:rsidP="009B14E8">
            <w:pPr>
              <w:spacing w:after="200" w:line="276" w:lineRule="auto"/>
              <w:contextualSpacing/>
              <w:rPr>
                <w:rFonts w:ascii="Tahoma" w:eastAsia="Calibri" w:hAnsi="Tahoma" w:cs="Tahoma"/>
                <w:b/>
                <w:lang w:eastAsia="en-US"/>
              </w:rPr>
            </w:pPr>
          </w:p>
        </w:tc>
      </w:tr>
      <w:tr w:rsidR="00A87666" w:rsidRPr="001F084F" w:rsidTr="00D153E3">
        <w:tc>
          <w:tcPr>
            <w:tcW w:w="828" w:type="dxa"/>
            <w:shd w:val="clear" w:color="auto" w:fill="auto"/>
          </w:tcPr>
          <w:p w:rsidR="00A87666" w:rsidRPr="001F084F" w:rsidRDefault="00A87666" w:rsidP="00A876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8640" w:type="dxa"/>
            <w:gridSpan w:val="2"/>
            <w:shd w:val="clear" w:color="auto" w:fill="auto"/>
          </w:tcPr>
          <w:p w:rsidR="00A87666" w:rsidRDefault="00A87666" w:rsidP="00A87666">
            <w:pPr>
              <w:spacing w:line="252" w:lineRule="auto"/>
              <w:ind w:left="720"/>
              <w:contextualSpacing/>
              <w:textAlignment w:val="baseline"/>
              <w:rPr>
                <w:rFonts w:eastAsiaTheme="minorEastAsia"/>
                <w:b/>
                <w:bCs/>
              </w:rPr>
            </w:pPr>
            <w:r w:rsidRPr="00BA2FFC">
              <w:rPr>
                <w:rFonts w:eastAsiaTheme="minorEastAsia"/>
                <w:b/>
                <w:bCs/>
              </w:rPr>
              <w:t>Definicje ustawowe wartości</w:t>
            </w:r>
            <w:r>
              <w:rPr>
                <w:rFonts w:eastAsiaTheme="minorEastAsia"/>
                <w:b/>
                <w:bCs/>
              </w:rPr>
              <w:t xml:space="preserve">: wartość rynkowa i wartość godziwa </w:t>
            </w:r>
          </w:p>
          <w:p w:rsidR="00A87666" w:rsidRPr="008C7025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Gdzie występują kluczowe różnice i dlaczego powstał zapis KSWS p.2.2.</w:t>
            </w:r>
          </w:p>
          <w:p w:rsidR="00A87666" w:rsidRPr="001F084F" w:rsidRDefault="00A87666" w:rsidP="009B14E8">
            <w:pPr>
              <w:spacing w:after="200" w:line="276" w:lineRule="auto"/>
              <w:contextualSpacing/>
              <w:rPr>
                <w:rFonts w:ascii="Tahoma" w:eastAsia="Calibri" w:hAnsi="Tahoma" w:cs="Tahoma"/>
                <w:b/>
                <w:lang w:eastAsia="en-US"/>
              </w:rPr>
            </w:pPr>
            <w:r w:rsidRPr="001F084F">
              <w:rPr>
                <w:rFonts w:ascii="Tahoma" w:eastAsia="Calibri" w:hAnsi="Tahoma" w:cs="Tahoma"/>
                <w:lang w:eastAsia="en-US"/>
              </w:rPr>
              <w:tab/>
            </w:r>
          </w:p>
        </w:tc>
      </w:tr>
      <w:tr w:rsidR="00A87666" w:rsidRPr="001F084F" w:rsidTr="006103BF">
        <w:tc>
          <w:tcPr>
            <w:tcW w:w="828" w:type="dxa"/>
            <w:shd w:val="clear" w:color="auto" w:fill="auto"/>
          </w:tcPr>
          <w:p w:rsidR="00A87666" w:rsidRPr="001F084F" w:rsidRDefault="00A87666" w:rsidP="00A876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8640" w:type="dxa"/>
            <w:gridSpan w:val="2"/>
            <w:shd w:val="clear" w:color="auto" w:fill="auto"/>
          </w:tcPr>
          <w:p w:rsidR="00A87666" w:rsidRDefault="00A87666" w:rsidP="00A87666">
            <w:pPr>
              <w:spacing w:line="252" w:lineRule="auto"/>
              <w:ind w:left="360"/>
              <w:contextualSpacing/>
              <w:textAlignment w:val="baseline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       </w:t>
            </w:r>
            <w:r w:rsidRPr="00BA2FFC">
              <w:rPr>
                <w:rFonts w:eastAsiaTheme="minorEastAsia"/>
                <w:b/>
                <w:bCs/>
              </w:rPr>
              <w:t>Przedsiębiorstwo</w:t>
            </w:r>
          </w:p>
          <w:p w:rsidR="00A87666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Definicja przedsiębiorstwa</w:t>
            </w:r>
          </w:p>
          <w:p w:rsidR="00A87666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Majątek przedsiębiorstwa jego klasyfikacja i ewidencja</w:t>
            </w:r>
          </w:p>
          <w:p w:rsidR="00A87666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Miejsce nieruchomości, jej części składowych i przynależności w ewidencji (problemy wyodrębnienia na potrzeby alokacji)</w:t>
            </w:r>
          </w:p>
          <w:p w:rsidR="00A87666" w:rsidRPr="008C7025" w:rsidRDefault="00A87666" w:rsidP="00A87666">
            <w:pPr>
              <w:pStyle w:val="Akapitzlist"/>
              <w:numPr>
                <w:ilvl w:val="1"/>
                <w:numId w:val="12"/>
              </w:numPr>
            </w:pPr>
            <w:r>
              <w:t>A</w:t>
            </w:r>
            <w:r w:rsidRPr="008C7025">
              <w:t xml:space="preserve">lokacja </w:t>
            </w:r>
            <w:r>
              <w:t xml:space="preserve">/ </w:t>
            </w:r>
            <w:proofErr w:type="spellStart"/>
            <w:r>
              <w:t>dezagregacja</w:t>
            </w:r>
            <w:proofErr w:type="spellEnd"/>
            <w:r>
              <w:t xml:space="preserve"> – przykłady praktyczne</w:t>
            </w:r>
          </w:p>
          <w:p w:rsidR="00A87666" w:rsidRPr="001F084F" w:rsidRDefault="00A87666" w:rsidP="009B14E8">
            <w:pPr>
              <w:spacing w:after="200" w:line="276" w:lineRule="auto"/>
              <w:contextualSpacing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7666" w:rsidRPr="001F084F" w:rsidTr="0074316A">
        <w:tc>
          <w:tcPr>
            <w:tcW w:w="828" w:type="dxa"/>
            <w:shd w:val="clear" w:color="auto" w:fill="auto"/>
          </w:tcPr>
          <w:p w:rsidR="00A87666" w:rsidRPr="001F084F" w:rsidRDefault="00A87666" w:rsidP="00A876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8640" w:type="dxa"/>
            <w:gridSpan w:val="2"/>
            <w:shd w:val="clear" w:color="auto" w:fill="auto"/>
          </w:tcPr>
          <w:p w:rsidR="00A87666" w:rsidRPr="008C7025" w:rsidRDefault="00A87666" w:rsidP="00A87666">
            <w:pPr>
              <w:spacing w:line="252" w:lineRule="auto"/>
              <w:ind w:left="720"/>
              <w:contextualSpacing/>
              <w:textAlignment w:val="baseline"/>
              <w:rPr>
                <w:rFonts w:eastAsiaTheme="minorEastAsia"/>
                <w:b/>
                <w:bCs/>
              </w:rPr>
            </w:pPr>
            <w:r w:rsidRPr="008C7025">
              <w:rPr>
                <w:rFonts w:eastAsiaTheme="minorEastAsia"/>
                <w:b/>
                <w:bCs/>
              </w:rPr>
              <w:t>MSSF 13Ustalanie wartości godziwej i Standard KSWS Wycena praw do nieruchomości oraz maszyn i urządzeń na potrzeby sprawozdań finansowych - zagadnienia kluczowe i problemy metodyczne</w:t>
            </w:r>
          </w:p>
          <w:p w:rsidR="00A87666" w:rsidRPr="008C7025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cs="Times New Roman"/>
              </w:rPr>
            </w:pPr>
            <w:r w:rsidRPr="008C7025">
              <w:rPr>
                <w:rFonts w:cs="Times New Roman"/>
              </w:rPr>
              <w:t>Rynek główny i rynek najkorzystniejszy</w:t>
            </w:r>
          </w:p>
          <w:p w:rsidR="00A87666" w:rsidRPr="008C7025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cs="Times New Roman"/>
              </w:rPr>
            </w:pPr>
            <w:r w:rsidRPr="008C7025">
              <w:rPr>
                <w:rFonts w:cs="Times New Roman"/>
              </w:rPr>
              <w:t>Ramy ustalania wartości godziwej</w:t>
            </w:r>
          </w:p>
          <w:p w:rsidR="00A87666" w:rsidRPr="008C7025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cs="Times New Roman"/>
              </w:rPr>
            </w:pPr>
            <w:r w:rsidRPr="008C7025">
              <w:rPr>
                <w:rFonts w:cs="Times New Roman"/>
              </w:rPr>
              <w:t>Ustalenie hierarchii wartości – poziom danych wejściowych</w:t>
            </w:r>
          </w:p>
          <w:p w:rsidR="00A87666" w:rsidRPr="008C7025" w:rsidRDefault="00A87666" w:rsidP="00A87666">
            <w:pPr>
              <w:numPr>
                <w:ilvl w:val="1"/>
                <w:numId w:val="12"/>
              </w:numPr>
              <w:spacing w:line="252" w:lineRule="auto"/>
              <w:contextualSpacing/>
              <w:textAlignment w:val="baseline"/>
              <w:rPr>
                <w:rFonts w:cs="Times New Roman"/>
              </w:rPr>
            </w:pPr>
            <w:r w:rsidRPr="008C7025">
              <w:rPr>
                <w:rFonts w:cs="Times New Roman"/>
              </w:rPr>
              <w:t>Ujawnianie informacji o pomiarach wartości godziwej</w:t>
            </w:r>
          </w:p>
          <w:p w:rsidR="00A87666" w:rsidRPr="001F084F" w:rsidRDefault="00A87666" w:rsidP="009B14E8">
            <w:pPr>
              <w:spacing w:after="200" w:line="276" w:lineRule="auto"/>
              <w:contextualSpacing/>
              <w:rPr>
                <w:rFonts w:ascii="Tahoma" w:eastAsia="Calibri" w:hAnsi="Tahoma" w:cs="Tahoma"/>
                <w:b/>
                <w:lang w:eastAsia="en-US"/>
              </w:rPr>
            </w:pPr>
          </w:p>
        </w:tc>
      </w:tr>
      <w:tr w:rsidR="00A87666" w:rsidRPr="001F084F" w:rsidTr="00080ACB">
        <w:tc>
          <w:tcPr>
            <w:tcW w:w="828" w:type="dxa"/>
            <w:shd w:val="clear" w:color="auto" w:fill="auto"/>
          </w:tcPr>
          <w:p w:rsidR="00A87666" w:rsidRPr="001F084F" w:rsidRDefault="00A87666" w:rsidP="00A876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8640" w:type="dxa"/>
            <w:gridSpan w:val="2"/>
            <w:shd w:val="clear" w:color="auto" w:fill="auto"/>
          </w:tcPr>
          <w:p w:rsidR="00A87666" w:rsidRDefault="00A87666" w:rsidP="00A87666">
            <w:pPr>
              <w:spacing w:line="252" w:lineRule="auto"/>
              <w:ind w:left="720"/>
              <w:contextualSpacing/>
              <w:textAlignment w:val="baseline"/>
              <w:rPr>
                <w:rFonts w:eastAsiaTheme="minorEastAsia"/>
                <w:b/>
                <w:bCs/>
              </w:rPr>
            </w:pPr>
            <w:r w:rsidRPr="00BA2FFC">
              <w:rPr>
                <w:rFonts w:eastAsiaTheme="minorEastAsia"/>
                <w:b/>
                <w:bCs/>
              </w:rPr>
              <w:t>Nieruchomości inwestycyjne</w:t>
            </w:r>
            <w:r>
              <w:rPr>
                <w:rFonts w:eastAsiaTheme="minorEastAsia"/>
                <w:b/>
                <w:bCs/>
              </w:rPr>
              <w:t xml:space="preserve"> </w:t>
            </w:r>
          </w:p>
          <w:p w:rsidR="00A87666" w:rsidRPr="008C7025" w:rsidRDefault="00A87666" w:rsidP="00A87666">
            <w:pPr>
              <w:spacing w:line="252" w:lineRule="auto"/>
              <w:ind w:left="720"/>
              <w:contextualSpacing/>
              <w:textAlignment w:val="baseline"/>
              <w:rPr>
                <w:rFonts w:cs="Times New Roman"/>
                <w:b/>
              </w:rPr>
            </w:pPr>
            <w:r>
              <w:rPr>
                <w:rFonts w:eastAsiaTheme="minorEastAsia"/>
                <w:b/>
                <w:bCs/>
              </w:rPr>
              <w:t>– Międzynarodowy Standard Rachunkowości 40</w:t>
            </w:r>
          </w:p>
          <w:p w:rsidR="00A87666" w:rsidRPr="00BA2FFC" w:rsidRDefault="00A87666" w:rsidP="00A87666">
            <w:pPr>
              <w:spacing w:line="252" w:lineRule="auto"/>
              <w:ind w:left="720"/>
              <w:contextualSpacing/>
              <w:textAlignment w:val="baseline"/>
              <w:rPr>
                <w:rFonts w:cs="Times New Roman"/>
                <w:b/>
              </w:rPr>
            </w:pPr>
          </w:p>
          <w:p w:rsidR="00A87666" w:rsidRPr="001F084F" w:rsidRDefault="00A87666" w:rsidP="009B14E8">
            <w:pPr>
              <w:spacing w:after="200" w:line="276" w:lineRule="auto"/>
              <w:contextualSpacing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E4F29" w:rsidRPr="001F084F" w:rsidTr="00080ACB">
        <w:tc>
          <w:tcPr>
            <w:tcW w:w="828" w:type="dxa"/>
            <w:shd w:val="clear" w:color="auto" w:fill="auto"/>
          </w:tcPr>
          <w:p w:rsidR="004E4F29" w:rsidRPr="001F084F" w:rsidRDefault="004E4F29" w:rsidP="00A876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8640" w:type="dxa"/>
            <w:gridSpan w:val="2"/>
            <w:shd w:val="clear" w:color="auto" w:fill="auto"/>
          </w:tcPr>
          <w:p w:rsidR="004E4F29" w:rsidRDefault="004E4F29" w:rsidP="004E4F29">
            <w:pPr>
              <w:spacing w:line="252" w:lineRule="auto"/>
              <w:ind w:left="720"/>
              <w:contextualSpacing/>
              <w:textAlignment w:val="baselin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 życia wzięte</w:t>
            </w:r>
          </w:p>
          <w:p w:rsidR="004E4F29" w:rsidRPr="004E4F29" w:rsidRDefault="004E4F29" w:rsidP="004E4F29">
            <w:pPr>
              <w:spacing w:line="252" w:lineRule="auto"/>
              <w:ind w:left="720"/>
              <w:contextualSpacing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E4F29">
              <w:rPr>
                <w:rFonts w:cs="Times New Roman"/>
              </w:rPr>
              <w:t xml:space="preserve">- prezentacja Opinii o wartości godziwej wraz z ujawnieniem informacji o wartości godziwej </w:t>
            </w:r>
          </w:p>
          <w:p w:rsidR="004E4F29" w:rsidRPr="00BA2FFC" w:rsidRDefault="004E4F29" w:rsidP="00A87666">
            <w:pPr>
              <w:spacing w:line="252" w:lineRule="auto"/>
              <w:ind w:left="720"/>
              <w:contextualSpacing/>
              <w:textAlignment w:val="baseline"/>
              <w:rPr>
                <w:rFonts w:eastAsiaTheme="minorEastAsia"/>
                <w:b/>
                <w:bCs/>
              </w:rPr>
            </w:pPr>
          </w:p>
        </w:tc>
      </w:tr>
      <w:tr w:rsidR="00A87666" w:rsidRPr="001F084F" w:rsidTr="009B14E8">
        <w:tc>
          <w:tcPr>
            <w:tcW w:w="828" w:type="dxa"/>
            <w:shd w:val="clear" w:color="auto" w:fill="auto"/>
          </w:tcPr>
          <w:p w:rsidR="00A87666" w:rsidRPr="001F084F" w:rsidRDefault="00A87666" w:rsidP="009B14E8">
            <w:pPr>
              <w:spacing w:after="200" w:line="276" w:lineRule="auto"/>
              <w:ind w:left="360"/>
              <w:contextualSpacing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7380" w:type="dxa"/>
            <w:shd w:val="clear" w:color="auto" w:fill="auto"/>
          </w:tcPr>
          <w:p w:rsidR="00A87666" w:rsidRPr="001F084F" w:rsidRDefault="00A87666" w:rsidP="009B14E8">
            <w:pPr>
              <w:rPr>
                <w:rFonts w:ascii="Tahoma" w:hAnsi="Tahoma" w:cs="Tahoma"/>
              </w:rPr>
            </w:pPr>
            <w:r w:rsidRPr="001F084F">
              <w:rPr>
                <w:rFonts w:ascii="Tahoma" w:hAnsi="Tahoma" w:cs="Tahoma"/>
              </w:rPr>
              <w:t xml:space="preserve">                                    Czas trwania programu kształcenia</w:t>
            </w:r>
          </w:p>
          <w:p w:rsidR="00A87666" w:rsidRPr="001F084F" w:rsidRDefault="00A87666" w:rsidP="009B14E8">
            <w:pPr>
              <w:spacing w:after="200" w:line="276" w:lineRule="auto"/>
              <w:contextualSpacing/>
              <w:rPr>
                <w:rFonts w:ascii="Tahoma" w:eastAsia="Calibri" w:hAnsi="Tahoma" w:cs="Tahoma"/>
                <w:b/>
                <w:bCs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666" w:rsidRPr="001F084F" w:rsidRDefault="00A87666" w:rsidP="009B14E8">
            <w:pPr>
              <w:spacing w:after="200" w:line="276" w:lineRule="auto"/>
              <w:contextualSpacing/>
              <w:rPr>
                <w:rFonts w:ascii="Tahoma" w:eastAsia="Calibri" w:hAnsi="Tahoma" w:cs="Tahoma"/>
                <w:b/>
                <w:lang w:eastAsia="en-US"/>
              </w:rPr>
            </w:pPr>
            <w:r w:rsidRPr="001F084F">
              <w:rPr>
                <w:rFonts w:ascii="Tahoma" w:eastAsia="Calibri" w:hAnsi="Tahoma" w:cs="Tahoma"/>
                <w:b/>
                <w:lang w:eastAsia="en-US"/>
              </w:rPr>
              <w:t>6 godz.</w:t>
            </w:r>
          </w:p>
        </w:tc>
      </w:tr>
    </w:tbl>
    <w:p w:rsidR="00A87666" w:rsidRPr="0027065A" w:rsidRDefault="00A87666"/>
    <w:sectPr w:rsidR="00A87666" w:rsidRPr="0027065A" w:rsidSect="003609AA">
      <w:pgSz w:w="11906" w:h="16838" w:code="9"/>
      <w:pgMar w:top="964" w:right="1274" w:bottom="964" w:left="1418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erif Condensed">
    <w:altName w:val="Times New Roman"/>
    <w:charset w:val="EE"/>
    <w:family w:val="roman"/>
    <w:pitch w:val="variable"/>
    <w:sig w:usb0="00000001" w:usb1="500071FB" w:usb2="0804002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0ECF"/>
    <w:multiLevelType w:val="hybridMultilevel"/>
    <w:tmpl w:val="A9E67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C627C"/>
    <w:multiLevelType w:val="hybridMultilevel"/>
    <w:tmpl w:val="E1E83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AB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D48B4"/>
    <w:multiLevelType w:val="hybridMultilevel"/>
    <w:tmpl w:val="77683BF0"/>
    <w:lvl w:ilvl="0" w:tplc="87DEC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24A08">
      <w:start w:val="16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E9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E6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A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A0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C4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6A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E6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731BF"/>
    <w:multiLevelType w:val="multilevel"/>
    <w:tmpl w:val="6130F32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690"/>
        </w:tabs>
        <w:ind w:left="690" w:hanging="576"/>
      </w:pPr>
      <w:rPr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60"/>
    <w:rsid w:val="000D5670"/>
    <w:rsid w:val="00104074"/>
    <w:rsid w:val="0012637F"/>
    <w:rsid w:val="001369FE"/>
    <w:rsid w:val="001704FB"/>
    <w:rsid w:val="001A30A4"/>
    <w:rsid w:val="00234F01"/>
    <w:rsid w:val="0027065A"/>
    <w:rsid w:val="00317AF5"/>
    <w:rsid w:val="00346F10"/>
    <w:rsid w:val="003609AA"/>
    <w:rsid w:val="003B6060"/>
    <w:rsid w:val="003E39B0"/>
    <w:rsid w:val="00441CC1"/>
    <w:rsid w:val="004A3CED"/>
    <w:rsid w:val="004E237A"/>
    <w:rsid w:val="004E4F29"/>
    <w:rsid w:val="00516CD1"/>
    <w:rsid w:val="005F0830"/>
    <w:rsid w:val="00634FBA"/>
    <w:rsid w:val="00635062"/>
    <w:rsid w:val="00676CE8"/>
    <w:rsid w:val="006953DA"/>
    <w:rsid w:val="00737AA0"/>
    <w:rsid w:val="007B77C1"/>
    <w:rsid w:val="00811866"/>
    <w:rsid w:val="008442DC"/>
    <w:rsid w:val="00987C46"/>
    <w:rsid w:val="009A5D37"/>
    <w:rsid w:val="009C3C2F"/>
    <w:rsid w:val="00A30A66"/>
    <w:rsid w:val="00A87666"/>
    <w:rsid w:val="00BF3585"/>
    <w:rsid w:val="00C0405D"/>
    <w:rsid w:val="00D63459"/>
    <w:rsid w:val="00DF3F2F"/>
    <w:rsid w:val="00E44176"/>
    <w:rsid w:val="00EA20C2"/>
    <w:rsid w:val="00EC24BE"/>
    <w:rsid w:val="00EF16E5"/>
    <w:rsid w:val="00F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060"/>
    <w:pPr>
      <w:spacing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46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7C46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87C46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987C46"/>
    <w:pPr>
      <w:keepNext/>
      <w:numPr>
        <w:ilvl w:val="3"/>
        <w:numId w:val="9"/>
      </w:numPr>
      <w:spacing w:before="240" w:after="60"/>
      <w:outlineLvl w:val="3"/>
    </w:pPr>
    <w:rPr>
      <w:rFonts w:ascii="Arial" w:eastAsia="Times New Roman" w:hAnsi="Arial" w:cs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87C46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987C46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987C46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87C46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87C46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C4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7C4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7C4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87C4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7C4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7C4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7C4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87C4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87C4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C46"/>
    <w:pPr>
      <w:ind w:left="720"/>
      <w:contextualSpacing/>
    </w:pPr>
    <w:rPr>
      <w:rFonts w:eastAsia="Times New Roman" w:cs="Times New Roman"/>
    </w:rPr>
  </w:style>
  <w:style w:type="paragraph" w:styleId="Tytu">
    <w:name w:val="Title"/>
    <w:basedOn w:val="Normalny"/>
    <w:link w:val="TytuZnak"/>
    <w:qFormat/>
    <w:rsid w:val="004A3CED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A3C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3CED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A3CE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3C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3C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3CED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060"/>
    <w:pPr>
      <w:spacing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46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7C46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87C46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987C46"/>
    <w:pPr>
      <w:keepNext/>
      <w:numPr>
        <w:ilvl w:val="3"/>
        <w:numId w:val="9"/>
      </w:numPr>
      <w:spacing w:before="240" w:after="60"/>
      <w:outlineLvl w:val="3"/>
    </w:pPr>
    <w:rPr>
      <w:rFonts w:ascii="Arial" w:eastAsia="Times New Roman" w:hAnsi="Arial" w:cs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87C46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987C46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987C46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87C46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87C46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C4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7C4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7C4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87C4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7C4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7C4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7C4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87C4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87C4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C46"/>
    <w:pPr>
      <w:ind w:left="720"/>
      <w:contextualSpacing/>
    </w:pPr>
    <w:rPr>
      <w:rFonts w:eastAsia="Times New Roman" w:cs="Times New Roman"/>
    </w:rPr>
  </w:style>
  <w:style w:type="paragraph" w:styleId="Tytu">
    <w:name w:val="Title"/>
    <w:basedOn w:val="Normalny"/>
    <w:link w:val="TytuZnak"/>
    <w:qFormat/>
    <w:rsid w:val="004A3CED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A3C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3CED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A3CE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3C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3C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3CED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Holwek</dc:creator>
  <cp:lastModifiedBy>PSRWN</cp:lastModifiedBy>
  <cp:revision>2</cp:revision>
  <cp:lastPrinted>2015-01-08T12:36:00Z</cp:lastPrinted>
  <dcterms:created xsi:type="dcterms:W3CDTF">2015-04-02T12:43:00Z</dcterms:created>
  <dcterms:modified xsi:type="dcterms:W3CDTF">2015-04-02T12:43:00Z</dcterms:modified>
</cp:coreProperties>
</file>